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2F" w:rsidRDefault="004554E1">
      <w:pPr>
        <w:spacing w:after="0"/>
        <w:jc w:val="right"/>
        <w:rPr>
          <w:rFonts w:ascii="Times New Roman" w:hAnsi="Times New Roman" w:cs="Times New Roman"/>
        </w:rPr>
      </w:pPr>
      <w:r>
        <w:rPr>
          <w:rFonts w:ascii="Times New Roman" w:hAnsi="Times New Roman" w:cs="Times New Roman"/>
        </w:rPr>
        <w:t>APSTIPRINĀTS</w:t>
      </w:r>
    </w:p>
    <w:p w:rsidR="00074B2F" w:rsidRDefault="004554E1">
      <w:pPr>
        <w:spacing w:after="0"/>
        <w:jc w:val="right"/>
        <w:rPr>
          <w:rFonts w:ascii="Times New Roman" w:hAnsi="Times New Roman" w:cs="Times New Roman"/>
        </w:rPr>
      </w:pPr>
      <w:r>
        <w:rPr>
          <w:rFonts w:ascii="Times New Roman" w:hAnsi="Times New Roman" w:cs="Times New Roman"/>
        </w:rPr>
        <w:t>Ar Nacionālās kultūras mantojuma</w:t>
      </w:r>
    </w:p>
    <w:p w:rsidR="00074B2F" w:rsidRDefault="004554E1">
      <w:pPr>
        <w:spacing w:after="0"/>
        <w:jc w:val="right"/>
        <w:rPr>
          <w:rFonts w:ascii="Times New Roman" w:hAnsi="Times New Roman" w:cs="Times New Roman"/>
        </w:rPr>
      </w:pPr>
      <w:r>
        <w:rPr>
          <w:rFonts w:ascii="Times New Roman" w:hAnsi="Times New Roman" w:cs="Times New Roman"/>
        </w:rPr>
        <w:t xml:space="preserve">pārvaldes </w:t>
      </w:r>
      <w:r w:rsidR="0092201C">
        <w:rPr>
          <w:rFonts w:ascii="Times New Roman" w:hAnsi="Times New Roman" w:cs="Times New Roman"/>
        </w:rPr>
        <w:t>05</w:t>
      </w:r>
      <w:r>
        <w:rPr>
          <w:rFonts w:ascii="Times New Roman" w:hAnsi="Times New Roman" w:cs="Times New Roman"/>
        </w:rPr>
        <w:t>.</w:t>
      </w:r>
      <w:r w:rsidR="0092201C">
        <w:rPr>
          <w:rFonts w:ascii="Times New Roman" w:hAnsi="Times New Roman" w:cs="Times New Roman"/>
        </w:rPr>
        <w:t>12</w:t>
      </w:r>
      <w:r>
        <w:rPr>
          <w:rFonts w:ascii="Times New Roman" w:hAnsi="Times New Roman" w:cs="Times New Roman"/>
        </w:rPr>
        <w:t xml:space="preserve">.2019 rīkojumu Nr. </w:t>
      </w:r>
      <w:r w:rsidR="0092201C">
        <w:rPr>
          <w:rFonts w:ascii="Times New Roman" w:hAnsi="Times New Roman" w:cs="Times New Roman"/>
        </w:rPr>
        <w:t>1/39</w:t>
      </w:r>
    </w:p>
    <w:p w:rsidR="00074B2F" w:rsidRDefault="00074B2F">
      <w:pPr>
        <w:jc w:val="center"/>
        <w:rPr>
          <w:rFonts w:ascii="Times New Roman" w:hAnsi="Times New Roman" w:cs="Times New Roman"/>
        </w:rPr>
      </w:pPr>
    </w:p>
    <w:p w:rsidR="00074B2F" w:rsidRDefault="004554E1">
      <w:pPr>
        <w:jc w:val="center"/>
        <w:rPr>
          <w:rFonts w:ascii="Times New Roman" w:hAnsi="Times New Roman" w:cs="Times New Roman"/>
          <w:caps/>
        </w:rPr>
      </w:pPr>
      <w:r>
        <w:rPr>
          <w:rFonts w:ascii="Times New Roman" w:hAnsi="Times New Roman" w:cs="Times New Roman"/>
          <w:caps/>
        </w:rPr>
        <w:t>NacionālāS kultūras mantojuma pārvaldeS Kultūras pieminekļu konservācijas un restaurācijas prOGRAMMAS 2020.gada PROJEKTU KONKURSA NOLIKUMS</w:t>
      </w:r>
    </w:p>
    <w:p w:rsidR="00074B2F" w:rsidRDefault="00074B2F">
      <w:pPr>
        <w:rPr>
          <w:rFonts w:ascii="Times New Roman" w:hAnsi="Times New Roman" w:cs="Times New Roman"/>
        </w:rPr>
      </w:pPr>
    </w:p>
    <w:p w:rsidR="00074B2F" w:rsidRDefault="004554E1">
      <w:pPr>
        <w:pStyle w:val="Sarakstarindkopa"/>
        <w:numPr>
          <w:ilvl w:val="0"/>
          <w:numId w:val="1"/>
        </w:numPr>
        <w:jc w:val="center"/>
        <w:rPr>
          <w:rFonts w:ascii="Times New Roman" w:hAnsi="Times New Roman" w:cs="Times New Roman"/>
          <w:b/>
        </w:rPr>
      </w:pPr>
      <w:r>
        <w:rPr>
          <w:rFonts w:ascii="Times New Roman" w:hAnsi="Times New Roman" w:cs="Times New Roman"/>
          <w:b/>
        </w:rPr>
        <w:t>Vispārīgie noteikumi</w:t>
      </w:r>
    </w:p>
    <w:p w:rsidR="00074B2F" w:rsidRDefault="004554E1">
      <w:pPr>
        <w:pStyle w:val="Sarakstarindkopa"/>
        <w:numPr>
          <w:ilvl w:val="0"/>
          <w:numId w:val="2"/>
        </w:numPr>
        <w:jc w:val="both"/>
      </w:pPr>
      <w:r>
        <w:rPr>
          <w:rFonts w:ascii="Times New Roman" w:hAnsi="Times New Roman" w:cs="Times New Roman"/>
        </w:rPr>
        <w:t>Nolikums nosaka 2020.gadā kultūras pieminekļu konservācijai un restaurācijai piešķirtā finansējuma (turpmāk – finansējums) sadales konkursa norises kārtību. Konkurss tiek rīkots atbilstoši likumam “Par kultūras pieminekļu aizsardzību”.</w:t>
      </w:r>
    </w:p>
    <w:p w:rsidR="00074B2F" w:rsidRPr="004554E1"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Lai piešķirtu finansējumu kultūras pieminekļu konservācijai vai rest</w:t>
      </w:r>
      <w:bookmarkStart w:id="0" w:name="_GoBack"/>
      <w:bookmarkEnd w:id="0"/>
      <w:r>
        <w:rPr>
          <w:rFonts w:ascii="Times New Roman" w:hAnsi="Times New Roman" w:cs="Times New Roman"/>
        </w:rPr>
        <w:t xml:space="preserve">aurācijai (turpmāk </w:t>
      </w:r>
      <w:r w:rsidRPr="004554E1">
        <w:rPr>
          <w:rFonts w:ascii="Times New Roman" w:hAnsi="Times New Roman" w:cs="Times New Roman"/>
        </w:rPr>
        <w:t>– Projekts), Nacionālā kultūras mantojuma pārvalde (turpmāk – Pārvalde) rīko atklātu konkursu.</w:t>
      </w:r>
    </w:p>
    <w:p w:rsidR="00074B2F" w:rsidRPr="004554E1" w:rsidRDefault="004554E1">
      <w:pPr>
        <w:pStyle w:val="Sarakstarindkopa"/>
        <w:numPr>
          <w:ilvl w:val="0"/>
          <w:numId w:val="2"/>
        </w:numPr>
        <w:jc w:val="both"/>
        <w:rPr>
          <w:rFonts w:ascii="Times New Roman" w:hAnsi="Times New Roman" w:cs="Times New Roman"/>
        </w:rPr>
      </w:pPr>
      <w:r w:rsidRPr="004554E1">
        <w:rPr>
          <w:rFonts w:ascii="Times New Roman" w:hAnsi="Times New Roman" w:cs="Times New Roman"/>
        </w:rPr>
        <w:t>Konkursa rezultāti var tikt pārskatīti pēc gadskārtējā likuma par valsts budžetu spēkā stāšanās.</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Finansējumu piešķir:</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Valsts nozīmes kultūras pieminekļu īpašniekiem/valdītājiem (turpmāk – Īpašnieki), kuru īpašumā/valdījumā esošais kultūras piemineklis ir pieejams sabiedrības apskatei;</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Reģionālas nozīmes kultūras pieminekļu īpašniekiem/valdītājiem (turpmāk – Īpašnieki), kuru īpašumā/valdījumā esošais kultūras piemineklis ir pieejams sabiedrības apskatei.</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Kultūras pieminekļiem, kam piešķirts finansējums, publiskā pieejamība saglabājama ne mazāk kā 25 gadus.</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Projektu konkursam var iesniegt Latvijā reģistrēti komersanti, biedrības vai nodibinājumi un pašvaldības.</w:t>
      </w:r>
    </w:p>
    <w:p w:rsidR="00074B2F" w:rsidRPr="00EF4594" w:rsidRDefault="004554E1" w:rsidP="00EF4594">
      <w:pPr>
        <w:pStyle w:val="Sarakstarindkopa"/>
        <w:numPr>
          <w:ilvl w:val="0"/>
          <w:numId w:val="2"/>
        </w:numPr>
        <w:jc w:val="both"/>
        <w:rPr>
          <w:rFonts w:ascii="Times New Roman" w:hAnsi="Times New Roman" w:cs="Times New Roman"/>
        </w:rPr>
      </w:pPr>
      <w:r>
        <w:rPr>
          <w:rFonts w:ascii="Times New Roman" w:hAnsi="Times New Roman" w:cs="Times New Roman"/>
        </w:rPr>
        <w:t xml:space="preserve">Šīs nolikuma piemērošanā: </w:t>
      </w:r>
    </w:p>
    <w:p w:rsidR="00074B2F" w:rsidRDefault="004554E1">
      <w:pPr>
        <w:pStyle w:val="Sarakstarindkopa"/>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konservāciju</w:t>
      </w:r>
      <w:r>
        <w:rPr>
          <w:rFonts w:ascii="Times New Roman" w:hAnsi="Times New Roman" w:cs="Times New Roman"/>
        </w:rPr>
        <w:t xml:space="preserve"> tiek saprasta kultūrvēsturiska objekta vai tā daļas esošā stāvokļa fizikāla, ķīmiska, </w:t>
      </w:r>
      <w:proofErr w:type="spellStart"/>
      <w:r>
        <w:rPr>
          <w:rFonts w:ascii="Times New Roman" w:hAnsi="Times New Roman" w:cs="Times New Roman"/>
        </w:rPr>
        <w:t>būvnieciska</w:t>
      </w:r>
      <w:proofErr w:type="spellEnd"/>
      <w:r>
        <w:rPr>
          <w:rFonts w:ascii="Times New Roman" w:hAnsi="Times New Roman" w:cs="Times New Roman"/>
        </w:rPr>
        <w:t xml:space="preserve"> nostiprināšana (līdzekļu un paņēmienu kopums, ar kuriem paildzina kultūrvēsturiska objekta mūžu);</w:t>
      </w:r>
    </w:p>
    <w:p w:rsidR="00074B2F" w:rsidRDefault="004554E1">
      <w:pPr>
        <w:pStyle w:val="Sarakstarindkopa"/>
        <w:numPr>
          <w:ilvl w:val="0"/>
          <w:numId w:val="3"/>
        </w:numPr>
        <w:jc w:val="both"/>
        <w:rPr>
          <w:rFonts w:ascii="Times New Roman" w:hAnsi="Times New Roman" w:cs="Times New Roman"/>
        </w:rPr>
      </w:pPr>
      <w:r>
        <w:rPr>
          <w:rFonts w:ascii="Times New Roman" w:hAnsi="Times New Roman" w:cs="Times New Roman"/>
        </w:rPr>
        <w:t xml:space="preserve">ar </w:t>
      </w:r>
      <w:r>
        <w:rPr>
          <w:rFonts w:ascii="Times New Roman" w:hAnsi="Times New Roman" w:cs="Times New Roman"/>
          <w:u w:val="single"/>
        </w:rPr>
        <w:t>restaurāciju</w:t>
      </w:r>
      <w:r>
        <w:rPr>
          <w:rFonts w:ascii="Times New Roman" w:hAnsi="Times New Roman" w:cs="Times New Roman"/>
        </w:rPr>
        <w:t xml:space="preserve"> tiek saprasta ar zinātnisku izpēti pamatota kultūrvēsturiska objekta vai atsevišķu tā daļu atjaunošana, lietojot oriģinālam atbilstošus materiālus un tehnoloģiju;</w:t>
      </w:r>
    </w:p>
    <w:p w:rsidR="00074B2F" w:rsidRDefault="00074B2F" w:rsidP="00EF4594">
      <w:pPr>
        <w:pStyle w:val="Sarakstarindkopa"/>
        <w:ind w:left="1080"/>
        <w:jc w:val="both"/>
        <w:rPr>
          <w:rFonts w:ascii="Times New Roman" w:hAnsi="Times New Roman" w:cs="Times New Roman"/>
        </w:rPr>
      </w:pPr>
    </w:p>
    <w:p w:rsidR="00074B2F" w:rsidRDefault="004554E1">
      <w:pPr>
        <w:pStyle w:val="Sarakstarindkopa"/>
        <w:numPr>
          <w:ilvl w:val="0"/>
          <w:numId w:val="1"/>
        </w:numPr>
        <w:jc w:val="center"/>
        <w:rPr>
          <w:rFonts w:ascii="Times New Roman" w:hAnsi="Times New Roman" w:cs="Times New Roman"/>
          <w:b/>
        </w:rPr>
      </w:pPr>
      <w:r>
        <w:rPr>
          <w:rFonts w:ascii="Times New Roman" w:hAnsi="Times New Roman" w:cs="Times New Roman"/>
          <w:b/>
        </w:rPr>
        <w:t>Projektu iesniegšana</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Projektu pieteikumu iesniegšana 2020.gadā:</w:t>
      </w:r>
    </w:p>
    <w:p w:rsidR="00074B2F" w:rsidRDefault="004554E1">
      <w:pPr>
        <w:pStyle w:val="Sarakstarindkopa"/>
        <w:numPr>
          <w:ilvl w:val="0"/>
          <w:numId w:val="3"/>
        </w:numPr>
        <w:jc w:val="both"/>
        <w:rPr>
          <w:rFonts w:ascii="Times New Roman" w:hAnsi="Times New Roman" w:cs="Times New Roman"/>
        </w:rPr>
      </w:pPr>
      <w:r>
        <w:rPr>
          <w:rFonts w:ascii="Times New Roman" w:hAnsi="Times New Roman" w:cs="Times New Roman"/>
        </w:rPr>
        <w:t>Līdz 31.01.2020. uz pirmo konkursu;</w:t>
      </w:r>
    </w:p>
    <w:p w:rsidR="00074B2F" w:rsidRDefault="004554E1">
      <w:pPr>
        <w:pStyle w:val="Sarakstarindkopa"/>
        <w:numPr>
          <w:ilvl w:val="0"/>
          <w:numId w:val="3"/>
        </w:numPr>
        <w:jc w:val="both"/>
        <w:rPr>
          <w:rFonts w:ascii="Times New Roman" w:hAnsi="Times New Roman" w:cs="Times New Roman"/>
        </w:rPr>
      </w:pPr>
      <w:r>
        <w:rPr>
          <w:rFonts w:ascii="Times New Roman" w:hAnsi="Times New Roman" w:cs="Times New Roman"/>
        </w:rPr>
        <w:t>Līdz 30.04.2020. uz otro konkursu.</w:t>
      </w:r>
    </w:p>
    <w:p w:rsidR="00074B2F" w:rsidRDefault="004554E1">
      <w:pPr>
        <w:pStyle w:val="Sarakstarindkopa"/>
        <w:numPr>
          <w:ilvl w:val="0"/>
          <w:numId w:val="2"/>
        </w:numPr>
        <w:jc w:val="both"/>
      </w:pPr>
      <w:r>
        <w:rPr>
          <w:rFonts w:ascii="Times New Roman" w:hAnsi="Times New Roman" w:cs="Times New Roman"/>
          <w:color w:val="000000" w:themeColor="text1"/>
        </w:rPr>
        <w:t>Maksimālais finansējuma pieprasījuma</w:t>
      </w:r>
      <w:r w:rsidR="00666BD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apmērs vienam projektam - līdz 20 000 </w:t>
      </w:r>
      <w:proofErr w:type="spellStart"/>
      <w:r w:rsidRPr="00D70F01">
        <w:rPr>
          <w:rFonts w:ascii="Times New Roman" w:hAnsi="Times New Roman" w:cs="Times New Roman"/>
          <w:i/>
          <w:color w:val="000000" w:themeColor="text1"/>
        </w:rPr>
        <w:t>euro</w:t>
      </w:r>
      <w:proofErr w:type="spellEnd"/>
      <w:r>
        <w:rPr>
          <w:rFonts w:ascii="Times New Roman" w:hAnsi="Times New Roman" w:cs="Times New Roman"/>
          <w:color w:val="000000" w:themeColor="text1"/>
        </w:rPr>
        <w:t>.</w:t>
      </w:r>
    </w:p>
    <w:p w:rsidR="00074B2F" w:rsidRDefault="004554E1">
      <w:pPr>
        <w:pStyle w:val="Sarakstarindkopa"/>
        <w:numPr>
          <w:ilvl w:val="0"/>
          <w:numId w:val="2"/>
        </w:numPr>
        <w:ind w:left="709" w:hanging="283"/>
        <w:jc w:val="both"/>
        <w:rPr>
          <w:rFonts w:ascii="Times New Roman" w:hAnsi="Times New Roman" w:cs="Times New Roman"/>
        </w:rPr>
      </w:pPr>
      <w:r>
        <w:rPr>
          <w:rFonts w:ascii="Times New Roman" w:hAnsi="Times New Roman" w:cs="Times New Roman"/>
        </w:rPr>
        <w:t xml:space="preserve">Īpašnieki iesniedz projekta pieteikumus Pārvaldē Klientu apkalpošanas centrā, pa pastu vai </w:t>
      </w:r>
      <w:r w:rsidR="00666BDA">
        <w:rPr>
          <w:rFonts w:ascii="Times New Roman" w:hAnsi="Times New Roman" w:cs="Times New Roman"/>
        </w:rPr>
        <w:t xml:space="preserve">uz Pārvaldes e-pasta adresi, nosūtot </w:t>
      </w:r>
      <w:r>
        <w:rPr>
          <w:rFonts w:ascii="Times New Roman" w:hAnsi="Times New Roman" w:cs="Times New Roman"/>
        </w:rPr>
        <w:t>elektroniski parakstītu dokumentu.</w:t>
      </w:r>
    </w:p>
    <w:p w:rsidR="00074B2F" w:rsidRDefault="004554E1">
      <w:pPr>
        <w:pStyle w:val="Sarakstarindkopa"/>
        <w:numPr>
          <w:ilvl w:val="0"/>
          <w:numId w:val="2"/>
        </w:numPr>
        <w:ind w:left="709" w:hanging="283"/>
        <w:rPr>
          <w:rFonts w:ascii="Times New Roman" w:hAnsi="Times New Roman" w:cs="Times New Roman"/>
        </w:rPr>
      </w:pPr>
      <w:r>
        <w:rPr>
          <w:rFonts w:ascii="Times New Roman" w:hAnsi="Times New Roman" w:cs="Times New Roman"/>
        </w:rPr>
        <w:t>Īpašnieks sagatavo un iesniedz šādu informāciju:</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aizpildītu, parakstītu finansējuma pieteikuma veidlapu (pielikums);</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informāciju par īpašuma piederību, gadījumā, ja tas nav uzrādīts Zemesgrāmatā;</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apsekojumu, defektu aktu vai citu dokumentu, kas pēc iespējas detalizētāk apliecina situāciju Kultūras piemineklī un paredzēto darbu nepieciešamību;</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situācijas un Kultūras pieminekli raksturojošus, anotētus krāsainus attēlus;</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paredzēto darbu, lietoto metožu un materiālu aprakstu;</w:t>
      </w:r>
    </w:p>
    <w:p w:rsidR="00074B2F" w:rsidRDefault="004554E1">
      <w:pPr>
        <w:pStyle w:val="Sarakstarindkopa"/>
        <w:numPr>
          <w:ilvl w:val="1"/>
          <w:numId w:val="2"/>
        </w:numPr>
        <w:rPr>
          <w:rFonts w:ascii="Times New Roman" w:hAnsi="Times New Roman" w:cs="Times New Roman"/>
        </w:rPr>
      </w:pPr>
      <w:r>
        <w:rPr>
          <w:rFonts w:ascii="Times New Roman" w:hAnsi="Times New Roman" w:cs="Times New Roman"/>
        </w:rPr>
        <w:t>izmaksu aprēķinu;</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 xml:space="preserve">informāciju par Īpašnieka noteikto kārtību Kultūras pieminekļa pieejamībai sabiedrības apskatei, kā arī tā izmantošanu un apsaimniekošanu vai izmantošanas ieceres, ja kultūras piemineklis tehniskā stāvokļa dēļ uz pieteikuma iesniegšanas </w:t>
      </w:r>
      <w:r>
        <w:rPr>
          <w:rFonts w:ascii="Times New Roman" w:hAnsi="Times New Roman" w:cs="Times New Roman"/>
        </w:rPr>
        <w:lastRenderedPageBreak/>
        <w:t>brīdi nav izmantojams, iekļaujot kontaktinformāciju (interneta vietnes adrese, e-pasta adrese, tālruņa nr.).</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 xml:space="preserve">Finansējuma pieteikumus ārkārtas neplānotiem glābšanas darbiem Īpašnieks var iesniegt ārpus konkursa termiņa visa gada laikā, iesniedzot 9.punktā noteikto informāciju. </w:t>
      </w:r>
    </w:p>
    <w:p w:rsidR="00074B2F" w:rsidRDefault="00074B2F">
      <w:pPr>
        <w:pStyle w:val="Sarakstarindkopa"/>
        <w:ind w:left="709"/>
        <w:rPr>
          <w:rFonts w:ascii="Times New Roman" w:hAnsi="Times New Roman" w:cs="Times New Roman"/>
        </w:rPr>
      </w:pPr>
    </w:p>
    <w:p w:rsidR="00074B2F" w:rsidRDefault="004554E1">
      <w:pPr>
        <w:pStyle w:val="Sarakstarindkopa"/>
        <w:numPr>
          <w:ilvl w:val="0"/>
          <w:numId w:val="1"/>
        </w:numPr>
        <w:jc w:val="center"/>
        <w:rPr>
          <w:rFonts w:ascii="Times New Roman" w:hAnsi="Times New Roman" w:cs="Times New Roman"/>
          <w:b/>
        </w:rPr>
      </w:pPr>
      <w:r>
        <w:rPr>
          <w:rFonts w:ascii="Times New Roman" w:hAnsi="Times New Roman" w:cs="Times New Roman"/>
          <w:b/>
        </w:rPr>
        <w:t>Attiecināmās un neattiecināmās izmaksas</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Par attiecināmām uzskatāmas izmaksas, kas nepieciešamas kultūras pieminekļa konservācijas un restaurācijas pasākumu īstenošanai, ir paredzētas līgumā par finansējuma piešķīrumu, kā arī atbilst pamatotiem un drošiem finanšu vadības principiem, it īpaši attiecībā uz ekonomiskumu, tai skaitā:</w:t>
      </w:r>
    </w:p>
    <w:p w:rsidR="00074B2F" w:rsidRDefault="004554E1">
      <w:pPr>
        <w:pStyle w:val="Sarakstarindkopa"/>
        <w:numPr>
          <w:ilvl w:val="1"/>
          <w:numId w:val="2"/>
        </w:numPr>
        <w:ind w:left="1276" w:hanging="556"/>
        <w:jc w:val="both"/>
      </w:pPr>
      <w:r>
        <w:rPr>
          <w:rFonts w:ascii="Times New Roman" w:hAnsi="Times New Roman" w:cs="Times New Roman"/>
        </w:rPr>
        <w:t xml:space="preserve">eksperta slēdziens, konservācijas/restaurācijas programmas izstrāde; </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konservācijas un restaurācijas dokumentācijas izstrāde;</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veikšana; </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 xml:space="preserve">konservācijas un restaurācijas darbu autoruzraudzības veikšana; </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konservācijai un restaurācijai nepieciešamie materiāli, kas tiek izmantoti objekta atjaunošanai līguma darbības izpildes laikā;</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aprīkojums, kas tieši saistīts ar objekta saglabāšanu un drošību, un tiek iebūvēts vai izmantots tikai šajā objektā ilgtermiņā (katrs gadījums tiek izvērtēts atsevišķi);</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mehānismu un speciālā aprīkojuma īre konservācijas un restaurācijas darbu veikšanai (piemēram, pacēlājs, sastatnes);</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inženierkomunikāciju remonta darbi, kas tieši saistīti ar kultūras pieminekļa oriģinālās substances saglabāšanu;</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transportlīdzekļa nomas vai transporta pakalpojuma izdevumi, degvielas izmaksas;</w:t>
      </w:r>
    </w:p>
    <w:p w:rsidR="00074B2F" w:rsidRDefault="004554E1">
      <w:pPr>
        <w:pStyle w:val="Sarakstarindkopa"/>
        <w:numPr>
          <w:ilvl w:val="1"/>
          <w:numId w:val="2"/>
        </w:numPr>
        <w:ind w:left="1276" w:hanging="556"/>
        <w:jc w:val="both"/>
        <w:rPr>
          <w:rFonts w:ascii="Times New Roman" w:hAnsi="Times New Roman" w:cs="Times New Roman"/>
        </w:rPr>
      </w:pPr>
      <w:r>
        <w:rPr>
          <w:rFonts w:ascii="Times New Roman" w:hAnsi="Times New Roman" w:cs="Times New Roman"/>
        </w:rPr>
        <w:t>projekta īstenošanā iesaistītā personāla atlīdzības izmaksas uz uzņēmuma vai pakalpojuma līguma pamata par konkrēta darba veikšanu/darba rezultāta sasniegšanu.</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Attiecināmās izmaksas ir pamatotas, noteiktas atbilstoši ekonomiskuma un efektivitātes principam un ne augstākas par vidējo tirgus likmi līdzvērtīgām precēm vai pakalpojumiem.</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Uz kultūras pieminekļa konservācijas un restaurācijas pasākumu īstenošanu neattiecināmie izdevumi:</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komandējuma un uzturēšanās izdevumi, kas nav tieši saistīti ar finansējuma līguma priekšmeta izpildi;</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prēmijas, pabalsti, piemaksas, personāla veselības apdrošināšana;</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ēdināšanas pakalpojumi, produktu iegāde;</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labiekārtošana nolūkā veicināt tūrisma plūsmu komerciāliem mērķiem;</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 xml:space="preserve">iekārtas, mēbeles, saimniecības un kancelejas preces, kas nav tieši saistītas ar kultūras pieminekļa konservāciju vai restaurāciju; </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 xml:space="preserve">informācijas un publicitātes izdevumi, kas saistīti ar tūrismu, nevis ar konkrētā objekta restaurācijas darbiem; </w:t>
      </w:r>
    </w:p>
    <w:p w:rsidR="00074B2F" w:rsidRDefault="004554E1">
      <w:pPr>
        <w:pStyle w:val="Sarakstarindkopa"/>
        <w:numPr>
          <w:ilvl w:val="1"/>
          <w:numId w:val="2"/>
        </w:numPr>
        <w:ind w:left="1276" w:hanging="567"/>
        <w:jc w:val="both"/>
        <w:rPr>
          <w:rFonts w:ascii="Times New Roman" w:hAnsi="Times New Roman" w:cs="Times New Roman"/>
        </w:rPr>
      </w:pPr>
      <w:r>
        <w:rPr>
          <w:rFonts w:ascii="Times New Roman" w:hAnsi="Times New Roman" w:cs="Times New Roman"/>
        </w:rPr>
        <w:t>kredīta maksājumi, līzings un līzinga procentu maksājumi.</w:t>
      </w:r>
    </w:p>
    <w:p w:rsidR="00074B2F" w:rsidRDefault="00074B2F">
      <w:pPr>
        <w:pStyle w:val="Sarakstarindkopa"/>
        <w:ind w:left="1276"/>
        <w:jc w:val="both"/>
        <w:rPr>
          <w:rFonts w:ascii="Times New Roman" w:hAnsi="Times New Roman" w:cs="Times New Roman"/>
        </w:rPr>
      </w:pPr>
    </w:p>
    <w:p w:rsidR="00074B2F" w:rsidRDefault="004554E1">
      <w:pPr>
        <w:pStyle w:val="Sarakstarindkopa"/>
        <w:numPr>
          <w:ilvl w:val="0"/>
          <w:numId w:val="1"/>
        </w:numPr>
        <w:jc w:val="center"/>
        <w:rPr>
          <w:rFonts w:ascii="Times New Roman" w:hAnsi="Times New Roman" w:cs="Times New Roman"/>
          <w:b/>
        </w:rPr>
      </w:pPr>
      <w:r>
        <w:rPr>
          <w:rFonts w:ascii="Times New Roman" w:hAnsi="Times New Roman" w:cs="Times New Roman"/>
          <w:b/>
        </w:rPr>
        <w:t>Projektu vērtēšana</w:t>
      </w:r>
    </w:p>
    <w:p w:rsidR="00074B2F" w:rsidRDefault="004554E1">
      <w:pPr>
        <w:pStyle w:val="Sarakstarindkopa"/>
        <w:numPr>
          <w:ilvl w:val="0"/>
          <w:numId w:val="2"/>
        </w:numPr>
        <w:spacing w:after="0" w:line="240" w:lineRule="auto"/>
        <w:jc w:val="both"/>
        <w:rPr>
          <w:rFonts w:ascii="Times New Roman" w:hAnsi="Times New Roman" w:cs="Times New Roman"/>
        </w:rPr>
      </w:pPr>
      <w:r>
        <w:rPr>
          <w:rFonts w:ascii="Times New Roman" w:hAnsi="Times New Roman" w:cs="Times New Roman"/>
        </w:rPr>
        <w:t>Iesniegto projektu vērtē Pārvaldes izveidota pastāvīga Komisija atbilstoši Pārvaldes apstiprinātai kārtībai. Komisijai ir tiesības projektu vērtēšanā pieaicināt speciālistus ar padomdevēja tiesībām, kuriem ir zināšanas vai darba iemaņas kultūras mantojuma izpētes, restaurācijas un konservācijas jomās.</w:t>
      </w:r>
    </w:p>
    <w:p w:rsidR="00074B2F" w:rsidRDefault="004554E1">
      <w:pPr>
        <w:pStyle w:val="Sarakstarindkopa"/>
        <w:numPr>
          <w:ilvl w:val="0"/>
          <w:numId w:val="2"/>
        </w:numPr>
        <w:spacing w:after="0" w:line="240" w:lineRule="auto"/>
        <w:jc w:val="both"/>
      </w:pPr>
      <w:r>
        <w:rPr>
          <w:rFonts w:ascii="Times New Roman" w:hAnsi="Times New Roman" w:cs="Times New Roman"/>
        </w:rPr>
        <w:t>Visi līdz šī nolikuma 8.punktā minētajiem datumiem iesniegtie projektu dokumenti tiek pārbaudīti un nepieciešamības gadījumā pieprasīti trūkstošie dokumenti.</w:t>
      </w:r>
    </w:p>
    <w:p w:rsidR="00074B2F" w:rsidRDefault="004554E1">
      <w:pPr>
        <w:pStyle w:val="Sarakstarindkop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Projektu izvērtēšana notiek pēc </w:t>
      </w:r>
      <w:r w:rsidR="00666BDA">
        <w:rPr>
          <w:rFonts w:ascii="Times New Roman" w:hAnsi="Times New Roman" w:cs="Times New Roman"/>
        </w:rPr>
        <w:t>8</w:t>
      </w:r>
      <w:r>
        <w:rPr>
          <w:rFonts w:ascii="Times New Roman" w:hAnsi="Times New Roman" w:cs="Times New Roman"/>
        </w:rPr>
        <w:t>.punktā norādītajiem datumiem.</w:t>
      </w:r>
    </w:p>
    <w:p w:rsidR="00074B2F" w:rsidRDefault="004554E1">
      <w:pPr>
        <w:pStyle w:val="Sarakstarindkopa"/>
        <w:numPr>
          <w:ilvl w:val="0"/>
          <w:numId w:val="2"/>
        </w:numPr>
        <w:spacing w:after="0" w:line="240" w:lineRule="auto"/>
        <w:jc w:val="both"/>
        <w:rPr>
          <w:rFonts w:ascii="Times New Roman" w:hAnsi="Times New Roman" w:cs="Times New Roman"/>
        </w:rPr>
      </w:pPr>
      <w:r>
        <w:rPr>
          <w:rFonts w:ascii="Times New Roman" w:hAnsi="Times New Roman" w:cs="Times New Roman"/>
        </w:rPr>
        <w:t>Komisija vērtē projektus pēc šādiem kritērijiem:</w:t>
      </w:r>
    </w:p>
    <w:p w:rsidR="00074B2F" w:rsidRDefault="004554E1">
      <w:pPr>
        <w:pStyle w:val="Sarakstarindkopa"/>
        <w:numPr>
          <w:ilvl w:val="1"/>
          <w:numId w:val="2"/>
        </w:numPr>
        <w:spacing w:after="0" w:line="240" w:lineRule="auto"/>
        <w:ind w:left="1276" w:hanging="556"/>
        <w:jc w:val="both"/>
      </w:pPr>
      <w:r>
        <w:rPr>
          <w:rFonts w:ascii="Times New Roman" w:hAnsi="Times New Roman" w:cs="Times New Roman"/>
        </w:rPr>
        <w:t xml:space="preserve">Programmā prioritāri atbalstāmi ir tādi konservācijas, un restaurācijas pasākumi, kas atbilstoši starptautiski atzītai kultūras mantojuma saglabāšanas </w:t>
      </w:r>
      <w:r>
        <w:rPr>
          <w:rFonts w:ascii="Times New Roman" w:hAnsi="Times New Roman" w:cs="Times New Roman"/>
        </w:rPr>
        <w:lastRenderedPageBreak/>
        <w:t>filozofijai visefektīvāk sekmē vērtību saglabāšanu cilvēka dzīves kvalitātes nodrošināšanai ilgtermiņā.</w:t>
      </w:r>
    </w:p>
    <w:p w:rsidR="00074B2F" w:rsidRDefault="004554E1">
      <w:pPr>
        <w:pStyle w:val="Sarakstarindkopa"/>
        <w:numPr>
          <w:ilvl w:val="1"/>
          <w:numId w:val="2"/>
        </w:numPr>
        <w:spacing w:after="0" w:line="240" w:lineRule="auto"/>
        <w:ind w:left="1276" w:hanging="556"/>
        <w:jc w:val="both"/>
      </w:pPr>
      <w:r>
        <w:rPr>
          <w:rFonts w:ascii="Times New Roman" w:hAnsi="Times New Roman" w:cs="Times New Roman"/>
        </w:rPr>
        <w:t xml:space="preserve">kultūras piemineklim ir liela kultūrvēsturiskā un sabiedriskā nozīme, un tas ir publiski pieejams; </w:t>
      </w:r>
    </w:p>
    <w:p w:rsidR="00074B2F" w:rsidRDefault="004554E1">
      <w:pPr>
        <w:pStyle w:val="Sarakstarindkopa"/>
        <w:numPr>
          <w:ilvl w:val="1"/>
          <w:numId w:val="2"/>
        </w:numPr>
        <w:spacing w:after="0" w:line="240" w:lineRule="auto"/>
        <w:ind w:left="1276" w:hanging="556"/>
        <w:jc w:val="both"/>
      </w:pPr>
      <w:r>
        <w:rPr>
          <w:rFonts w:ascii="Times New Roman" w:hAnsi="Times New Roman" w:cs="Times New Roman"/>
        </w:rPr>
        <w:t xml:space="preserve">paredzētie darbi ir glābšanas darbi, vai neatliekama restaurācija, kas nodrošina kultūras pieminekļa pastāvēšanu ilgtermiņā un nav saistīti ar tā funkciju uzlabošanu; </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 xml:space="preserve">lielāka apjoma finansējumu piešķir tādiem neatliekamiem glābšanas darbiem, kas saistīti ar oriģinālās substances saglabāšanu un ēku drošību; </w:t>
      </w:r>
    </w:p>
    <w:p w:rsidR="00074B2F" w:rsidRDefault="004554E1">
      <w:pPr>
        <w:pStyle w:val="Sarakstarindkopa"/>
        <w:numPr>
          <w:ilvl w:val="1"/>
          <w:numId w:val="2"/>
        </w:numPr>
        <w:spacing w:after="0" w:line="240" w:lineRule="auto"/>
        <w:ind w:left="1276" w:hanging="556"/>
        <w:jc w:val="both"/>
      </w:pPr>
      <w:r>
        <w:rPr>
          <w:rFonts w:ascii="Times New Roman" w:hAnsi="Times New Roman" w:cs="Times New Roman"/>
        </w:rPr>
        <w:t>valsts budžeta līdzekļu piešķiršana piesaista papildu finansējumu un veicina papildu aktivitāšu īstenošanu kultūras pieminekļa saglabāšanā;</w:t>
      </w:r>
    </w:p>
    <w:p w:rsidR="00074B2F" w:rsidRDefault="004554E1">
      <w:pPr>
        <w:pStyle w:val="Sarakstarindkopa"/>
        <w:numPr>
          <w:ilvl w:val="1"/>
          <w:numId w:val="2"/>
        </w:numPr>
        <w:spacing w:after="0" w:line="240" w:lineRule="auto"/>
        <w:ind w:left="1276" w:hanging="556"/>
        <w:jc w:val="both"/>
      </w:pPr>
      <w:r>
        <w:rPr>
          <w:rFonts w:ascii="Times New Roman" w:hAnsi="Times New Roman" w:cs="Times New Roman"/>
        </w:rPr>
        <w:t>paredzētos darbus īstenos, maksimāli saglabājot kultūras pieminekļa autentiskumu un oriģinālo substanci – lietos autentiskas (oriģinālajām atbilstošas vai pietuvinātas) saglabāšanas metodes un materiālus;</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restaurācijas amatu apmācība, pieredzes pārņemšana, radīts labas prakses piemērs;</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 xml:space="preserve">darbos plānots ieguldīt pašfinansējumu; </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darbus veiks kompetenti speciālisti;</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paredzēta līdzekļu racionāla un ekonomiska izmantošana;</w:t>
      </w:r>
    </w:p>
    <w:p w:rsidR="00074B2F" w:rsidRDefault="004554E1">
      <w:pPr>
        <w:pStyle w:val="Sarakstarindkopa"/>
        <w:numPr>
          <w:ilvl w:val="1"/>
          <w:numId w:val="2"/>
        </w:numPr>
        <w:spacing w:after="0" w:line="240" w:lineRule="auto"/>
        <w:ind w:left="1276" w:hanging="556"/>
        <w:jc w:val="both"/>
        <w:rPr>
          <w:rFonts w:ascii="Times New Roman" w:hAnsi="Times New Roman" w:cs="Times New Roman"/>
        </w:rPr>
      </w:pPr>
      <w:r>
        <w:rPr>
          <w:rFonts w:ascii="Times New Roman" w:hAnsi="Times New Roman" w:cs="Times New Roman"/>
        </w:rPr>
        <w:t>iesniegta pilnvērtīga finansējuma piešķiršanas izvērtēšanai nepieciešamā informācija.</w:t>
      </w:r>
    </w:p>
    <w:p w:rsidR="00074B2F" w:rsidRDefault="00074B2F">
      <w:pPr>
        <w:pStyle w:val="Sarakstarindkopa"/>
        <w:spacing w:after="0" w:line="240" w:lineRule="auto"/>
        <w:ind w:left="1276"/>
        <w:jc w:val="both"/>
        <w:rPr>
          <w:rFonts w:ascii="Times New Roman" w:hAnsi="Times New Roman" w:cs="Times New Roman"/>
        </w:rPr>
      </w:pPr>
    </w:p>
    <w:p w:rsidR="00074B2F" w:rsidRDefault="004554E1">
      <w:pPr>
        <w:pStyle w:val="Sarakstarindkopa"/>
        <w:numPr>
          <w:ilvl w:val="0"/>
          <w:numId w:val="1"/>
        </w:numPr>
        <w:jc w:val="center"/>
        <w:rPr>
          <w:rFonts w:ascii="Times New Roman" w:hAnsi="Times New Roman" w:cs="Times New Roman"/>
          <w:b/>
        </w:rPr>
      </w:pPr>
      <w:r>
        <w:rPr>
          <w:rFonts w:ascii="Times New Roman" w:hAnsi="Times New Roman" w:cs="Times New Roman"/>
          <w:b/>
        </w:rPr>
        <w:t>Finansēšanas līguma noslēgšana</w:t>
      </w:r>
    </w:p>
    <w:p w:rsidR="00074B2F" w:rsidRDefault="004554E1">
      <w:pPr>
        <w:pStyle w:val="Sarakstarindkopa"/>
        <w:numPr>
          <w:ilvl w:val="0"/>
          <w:numId w:val="2"/>
        </w:numPr>
        <w:ind w:left="567" w:hanging="567"/>
        <w:jc w:val="both"/>
      </w:pPr>
      <w:r>
        <w:rPr>
          <w:rFonts w:ascii="Times New Roman" w:hAnsi="Times New Roman" w:cs="Times New Roman"/>
        </w:rPr>
        <w:t xml:space="preserve">Ne vēlāk kā septiņu nedēļu laikā pēc konkursa termiņa noslēguma Pārvalde  paziņo Īpašniekam lēmumu. Īpašnieks vienas nedēļas laikā informē Pārvaldi, vai piekrīt lēmumam, spēj apgūt piešķirto finansējumu, kā arī apzinās, ka publiskā pieejamība kultūras piemineklim saglabājama ne mazāk kā 25 gadus. </w:t>
      </w:r>
    </w:p>
    <w:p w:rsidR="00074B2F" w:rsidRDefault="004554E1">
      <w:pPr>
        <w:pStyle w:val="Sarakstarindkopa"/>
        <w:numPr>
          <w:ilvl w:val="0"/>
          <w:numId w:val="2"/>
        </w:numPr>
        <w:ind w:left="567" w:hanging="567"/>
        <w:jc w:val="both"/>
      </w:pPr>
      <w:r>
        <w:rPr>
          <w:rFonts w:ascii="Times New Roman" w:hAnsi="Times New Roman" w:cs="Times New Roman"/>
        </w:rPr>
        <w:t>Īpašnieks trīs nedēļu laikā pēc Pārvaldes lēmuma saņemšanas iesniedz Pārvaldē detalizētu tāmi, kas sagatavota atbilstoši šī nolikuma 22.,23.,24.,25.punktiem, kā arī aizpilda un iesniedz iesniegumu par darbu atļaujas saņemšanu (attiecas uz tiem darbiem, kuriem nepieciešama atļauja, ja tāda nav jau saņemta).</w:t>
      </w:r>
    </w:p>
    <w:p w:rsidR="00074B2F" w:rsidRDefault="004554E1">
      <w:pPr>
        <w:pStyle w:val="Sarakstarindkopa"/>
        <w:numPr>
          <w:ilvl w:val="0"/>
          <w:numId w:val="2"/>
        </w:numPr>
        <w:ind w:left="567" w:hanging="567"/>
        <w:jc w:val="both"/>
        <w:rPr>
          <w:rFonts w:ascii="Times New Roman" w:hAnsi="Times New Roman" w:cs="Times New Roman"/>
        </w:rPr>
      </w:pPr>
      <w:r>
        <w:rPr>
          <w:rFonts w:ascii="Times New Roman" w:hAnsi="Times New Roman" w:cs="Times New Roman"/>
        </w:rPr>
        <w:t>Tāmei jābūt izstrādātai tā, lai varētu konstatēt paredzēto darbu veidu un apjomu, salīdzināt izmaksas un kontrolēt finanšu līdzekļu izlietojuma atbilstību paredzētajam mērķim.</w:t>
      </w:r>
    </w:p>
    <w:p w:rsidR="00074B2F" w:rsidRDefault="004554E1">
      <w:pPr>
        <w:pStyle w:val="Sarakstarindkopa"/>
        <w:numPr>
          <w:ilvl w:val="0"/>
          <w:numId w:val="2"/>
        </w:numPr>
        <w:ind w:left="567" w:hanging="567"/>
        <w:jc w:val="both"/>
        <w:rPr>
          <w:rFonts w:ascii="Times New Roman" w:hAnsi="Times New Roman" w:cs="Times New Roman"/>
        </w:rPr>
      </w:pPr>
      <w:r>
        <w:rPr>
          <w:rFonts w:ascii="Times New Roman" w:hAnsi="Times New Roman" w:cs="Times New Roman"/>
        </w:rPr>
        <w:t>Tāmē norāda informāciju par veicamajiem darbiem un objektu: nosaukums, adrese, izpildāmo darbu veids, ja nepieciešams – piezīmes, kas saistītas ar darbu specifiku, tāmes sagatavotājs, paraksts, tāmes izstrādes datums.</w:t>
      </w:r>
    </w:p>
    <w:p w:rsidR="00074B2F" w:rsidRDefault="004554E1">
      <w:pPr>
        <w:pStyle w:val="Sarakstarindkopa"/>
        <w:numPr>
          <w:ilvl w:val="0"/>
          <w:numId w:val="2"/>
        </w:numPr>
        <w:ind w:left="567" w:hanging="567"/>
        <w:jc w:val="both"/>
        <w:rPr>
          <w:rFonts w:ascii="Times New Roman" w:hAnsi="Times New Roman" w:cs="Times New Roman"/>
        </w:rPr>
      </w:pPr>
      <w:r>
        <w:rPr>
          <w:rFonts w:ascii="Times New Roman" w:hAnsi="Times New Roman" w:cs="Times New Roman"/>
        </w:rPr>
        <w:t xml:space="preserve">Tāmi veido: </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darbaspēka izmaksas (darba izmaksās iekļauts darba ņēmēja sociālais nodoklis un ienākuma nodoklis virs neapliekamā minimuma. Profesionālā uzraudzība nav jāiekļauj darbaspēka stundu izmaksu likmēs. Pēc vajadzības uzraudzības izmaksas iekļauj virs izdevumos);</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materiālu izmaksas (pēc iespējas izvēlas vairumtirdzniecības vai izgatavotāja materiālu cenas);</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 xml:space="preserve">mehānismu izmaksas (mehānismu nomas izmaksās parasti iekļauj nodrošinājumu ar degvielu, eļļu un operatora pakalpojumus. Nolietojums ietver instrumentu un mehānismu amortizāciju. Ja paredzētas lielas transporta izmaksas, tad </w:t>
      </w:r>
      <w:r w:rsidR="00666BDA">
        <w:rPr>
          <w:rFonts w:ascii="Times New Roman" w:hAnsi="Times New Roman" w:cs="Times New Roman"/>
        </w:rPr>
        <w:t xml:space="preserve">ieteicams </w:t>
      </w:r>
      <w:r>
        <w:rPr>
          <w:rFonts w:ascii="Times New Roman" w:hAnsi="Times New Roman" w:cs="Times New Roman"/>
        </w:rPr>
        <w:t xml:space="preserve">tās izcenot atsevišķi); </w:t>
      </w:r>
    </w:p>
    <w:p w:rsidR="00074B2F" w:rsidRDefault="004554E1">
      <w:pPr>
        <w:pStyle w:val="Sarakstarindkopa"/>
        <w:numPr>
          <w:ilvl w:val="1"/>
          <w:numId w:val="2"/>
        </w:numPr>
        <w:jc w:val="both"/>
        <w:rPr>
          <w:rFonts w:ascii="Times New Roman" w:hAnsi="Times New Roman" w:cs="Times New Roman"/>
        </w:rPr>
      </w:pPr>
      <w:r>
        <w:rPr>
          <w:rFonts w:ascii="Times New Roman" w:hAnsi="Times New Roman" w:cs="Times New Roman"/>
        </w:rPr>
        <w:t xml:space="preserve">nodokļi. </w:t>
      </w:r>
    </w:p>
    <w:p w:rsidR="00074B2F" w:rsidRDefault="004554E1">
      <w:pPr>
        <w:rPr>
          <w:rFonts w:ascii="Times New Roman" w:hAnsi="Times New Roman" w:cs="Times New Roman"/>
        </w:rPr>
      </w:pPr>
      <w:r>
        <w:br w:type="page"/>
      </w:r>
    </w:p>
    <w:p w:rsidR="00074B2F" w:rsidRDefault="00074B2F">
      <w:pPr>
        <w:pStyle w:val="Sarakstarindkopa"/>
        <w:ind w:left="1080"/>
        <w:jc w:val="both"/>
        <w:rPr>
          <w:rFonts w:ascii="Times New Roman" w:hAnsi="Times New Roman" w:cs="Times New Roman"/>
        </w:rPr>
      </w:pP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 xml:space="preserve">Tāmi </w:t>
      </w:r>
      <w:r w:rsidR="00666BDA">
        <w:rPr>
          <w:rFonts w:ascii="Times New Roman" w:hAnsi="Times New Roman" w:cs="Times New Roman"/>
        </w:rPr>
        <w:t xml:space="preserve">ieteicams </w:t>
      </w:r>
      <w:r>
        <w:rPr>
          <w:rFonts w:ascii="Times New Roman" w:hAnsi="Times New Roman" w:cs="Times New Roman"/>
        </w:rPr>
        <w:t>noformēt atbilstoši Latvijas būvnormatīvam LBN 501-17 „</w:t>
      </w:r>
      <w:proofErr w:type="spellStart"/>
      <w:r>
        <w:rPr>
          <w:rFonts w:ascii="Times New Roman" w:hAnsi="Times New Roman" w:cs="Times New Roman"/>
        </w:rPr>
        <w:t>Būvizmaksu</w:t>
      </w:r>
      <w:proofErr w:type="spellEnd"/>
      <w:r>
        <w:rPr>
          <w:rFonts w:ascii="Times New Roman" w:hAnsi="Times New Roman" w:cs="Times New Roman"/>
        </w:rPr>
        <w:t xml:space="preserve"> noteikšanas kārtība”, tajā iekļaujot šādas pozīcijas:</w:t>
      </w:r>
    </w:p>
    <w:tbl>
      <w:tblPr>
        <w:tblW w:w="8109" w:type="dxa"/>
        <w:tblInd w:w="930" w:type="dxa"/>
        <w:tblLook w:val="04A0" w:firstRow="1" w:lastRow="0" w:firstColumn="1" w:lastColumn="0" w:noHBand="0" w:noVBand="1"/>
      </w:tblPr>
      <w:tblGrid>
        <w:gridCol w:w="496"/>
        <w:gridCol w:w="496"/>
        <w:gridCol w:w="496"/>
        <w:gridCol w:w="496"/>
        <w:gridCol w:w="496"/>
        <w:gridCol w:w="763"/>
        <w:gridCol w:w="496"/>
        <w:gridCol w:w="553"/>
        <w:gridCol w:w="553"/>
        <w:gridCol w:w="496"/>
        <w:gridCol w:w="552"/>
        <w:gridCol w:w="553"/>
        <w:gridCol w:w="553"/>
        <w:gridCol w:w="553"/>
        <w:gridCol w:w="557"/>
      </w:tblGrid>
      <w:tr w:rsidR="00074B2F">
        <w:trPr>
          <w:cantSplit/>
          <w:trHeight w:val="393"/>
        </w:trPr>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Nr.</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Darba nosaukums</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Mērvienība</w:t>
            </w:r>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Daudzums</w:t>
            </w:r>
          </w:p>
        </w:tc>
        <w:tc>
          <w:tcPr>
            <w:tcW w:w="33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4B2F" w:rsidRDefault="004554E1">
            <w:pPr>
              <w:jc w:val="center"/>
              <w:rPr>
                <w:rFonts w:ascii="Times New Roman" w:hAnsi="Times New Roman" w:cs="Times New Roman"/>
              </w:rPr>
            </w:pPr>
            <w:r>
              <w:rPr>
                <w:rFonts w:ascii="Times New Roman" w:hAnsi="Times New Roman" w:cs="Times New Roman"/>
              </w:rPr>
              <w:t>Vienības izmaksas</w:t>
            </w:r>
          </w:p>
        </w:tc>
        <w:tc>
          <w:tcPr>
            <w:tcW w:w="283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74B2F" w:rsidRDefault="004554E1">
            <w:pPr>
              <w:jc w:val="center"/>
              <w:rPr>
                <w:rFonts w:ascii="Times New Roman" w:hAnsi="Times New Roman" w:cs="Times New Roman"/>
              </w:rPr>
            </w:pPr>
            <w:r>
              <w:rPr>
                <w:rFonts w:ascii="Times New Roman" w:hAnsi="Times New Roman" w:cs="Times New Roman"/>
              </w:rPr>
              <w:t>Kopā uz visu apjomu</w:t>
            </w:r>
          </w:p>
        </w:tc>
      </w:tr>
      <w:tr w:rsidR="00074B2F">
        <w:trPr>
          <w:cantSplit/>
          <w:trHeight w:val="2020"/>
        </w:trPr>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074B2F">
            <w:pPr>
              <w:spacing w:after="0"/>
              <w:ind w:left="113" w:right="113"/>
              <w:jc w:val="both"/>
              <w:rPr>
                <w:rFonts w:ascii="Times New Roman" w:hAnsi="Times New Roman" w:cs="Times New Roman"/>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074B2F">
            <w:pPr>
              <w:spacing w:after="0"/>
              <w:ind w:left="113" w:right="113"/>
              <w:jc w:val="both"/>
              <w:rPr>
                <w:rFonts w:ascii="Times New Roman" w:hAnsi="Times New Roman" w:cs="Times New Roman"/>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074B2F">
            <w:pPr>
              <w:spacing w:after="0"/>
              <w:ind w:left="113" w:right="113"/>
              <w:jc w:val="both"/>
              <w:rPr>
                <w:rFonts w:ascii="Times New Roman" w:hAnsi="Times New Roman" w:cs="Times New Roman"/>
              </w:rPr>
            </w:pPr>
          </w:p>
        </w:tc>
        <w:tc>
          <w:tcPr>
            <w:tcW w:w="491" w:type="dxa"/>
            <w:vMerge/>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074B2F">
            <w:pPr>
              <w:spacing w:after="0"/>
              <w:ind w:left="113" w:right="113"/>
              <w:jc w:val="both"/>
              <w:rPr>
                <w:rFonts w:ascii="Times New Roman" w:hAnsi="Times New Roman" w:cs="Times New Roman"/>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Laika norma c/h</w:t>
            </w:r>
          </w:p>
        </w:tc>
        <w:tc>
          <w:tcPr>
            <w:tcW w:w="82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rPr>
                <w:rFonts w:ascii="Times New Roman" w:hAnsi="Times New Roman" w:cs="Times New Roman"/>
              </w:rPr>
            </w:pPr>
            <w:r>
              <w:rPr>
                <w:rFonts w:ascii="Times New Roman" w:hAnsi="Times New Roman" w:cs="Times New Roman"/>
              </w:rPr>
              <w:t xml:space="preserve">Darba samaksas likme </w:t>
            </w:r>
            <w:proofErr w:type="spellStart"/>
            <w:r>
              <w:rPr>
                <w:rFonts w:ascii="Times New Roman" w:hAnsi="Times New Roman" w:cs="Times New Roman"/>
              </w:rPr>
              <w:t>Eur</w:t>
            </w:r>
            <w:proofErr w:type="spellEnd"/>
            <w:r>
              <w:rPr>
                <w:rFonts w:ascii="Times New Roman" w:hAnsi="Times New Roman" w:cs="Times New Roman"/>
              </w:rPr>
              <w:t>/h</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Kopā (</w:t>
            </w:r>
            <w:proofErr w:type="spellStart"/>
            <w:r>
              <w:rPr>
                <w:rFonts w:ascii="Times New Roman" w:hAnsi="Times New Roman" w:cs="Times New Roman"/>
              </w:rPr>
              <w:t>Eur</w:t>
            </w:r>
            <w:proofErr w:type="spellEnd"/>
            <w:r>
              <w:rPr>
                <w:rFonts w:ascii="Times New Roman" w:hAnsi="Times New Roman" w:cs="Times New Roman"/>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Darbietilpība (c/h)</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Darba alga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Materiāli (</w:t>
            </w:r>
            <w:proofErr w:type="spellStart"/>
            <w:r>
              <w:rPr>
                <w:rFonts w:ascii="Times New Roman" w:hAnsi="Times New Roman" w:cs="Times New Roman"/>
              </w:rPr>
              <w:t>Eur</w:t>
            </w:r>
            <w:proofErr w:type="spellEnd"/>
            <w:r>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Mehānismi (</w:t>
            </w:r>
            <w:proofErr w:type="spellStart"/>
            <w:r>
              <w:rPr>
                <w:rFonts w:ascii="Times New Roman" w:hAnsi="Times New Roman" w:cs="Times New Roman"/>
              </w:rPr>
              <w:t>Eur</w:t>
            </w:r>
            <w:proofErr w:type="spellEnd"/>
            <w:r>
              <w:rPr>
                <w:rFonts w:ascii="Times New Roman" w:hAnsi="Times New Roman" w:cs="Times New Roman"/>
              </w:rPr>
              <w:t>)</w:t>
            </w:r>
          </w:p>
        </w:tc>
        <w:tc>
          <w:tcPr>
            <w:tcW w:w="57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74B2F" w:rsidRDefault="004554E1">
            <w:pPr>
              <w:spacing w:after="0"/>
              <w:ind w:left="113" w:right="113"/>
              <w:jc w:val="both"/>
              <w:rPr>
                <w:rFonts w:ascii="Times New Roman" w:hAnsi="Times New Roman" w:cs="Times New Roman"/>
              </w:rPr>
            </w:pPr>
            <w:r>
              <w:rPr>
                <w:rFonts w:ascii="Times New Roman" w:hAnsi="Times New Roman" w:cs="Times New Roman"/>
              </w:rPr>
              <w:t>Summa (</w:t>
            </w:r>
            <w:proofErr w:type="spellStart"/>
            <w:r>
              <w:rPr>
                <w:rFonts w:ascii="Times New Roman" w:hAnsi="Times New Roman" w:cs="Times New Roman"/>
              </w:rPr>
              <w:t>Eur</w:t>
            </w:r>
            <w:proofErr w:type="spellEnd"/>
            <w:r>
              <w:rPr>
                <w:rFonts w:ascii="Times New Roman" w:hAnsi="Times New Roman" w:cs="Times New Roman"/>
              </w:rPr>
              <w:t>)</w:t>
            </w:r>
          </w:p>
        </w:tc>
      </w:tr>
    </w:tbl>
    <w:p w:rsidR="00074B2F" w:rsidRDefault="004554E1">
      <w:pPr>
        <w:spacing w:before="120" w:after="120"/>
        <w:ind w:left="851"/>
        <w:jc w:val="both"/>
        <w:rPr>
          <w:rFonts w:ascii="Times New Roman" w:hAnsi="Times New Roman" w:cs="Times New Roman"/>
        </w:rPr>
      </w:pPr>
      <w:r>
        <w:rPr>
          <w:rFonts w:ascii="Times New Roman" w:hAnsi="Times New Roman" w:cs="Times New Roman"/>
        </w:rPr>
        <w:t>Tāmi konservācijas un restaurācijas darbiem, kas nav saistīti ar būvniecību, noformē atbilstoši konkrētās jomas restaurācijas darbu specifikai, detalizēti norādot darbu nosaukumus, apjomu, laika normas, darbu izmaksas, materiālu, iekārtu un transporta izmaksas, kā arī nodokļus.</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Finansēšanas līgumu Pārvalde paraksta un pārskaita finansējumu tikai pēc tam, kad Īpašnieks ir saņēmis Pārvaldes izsniegtu darba atļauju.</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Ja īpašnieks 3 nedēļu laikā pēc lēmuma pieņemšanas nav iesniedzis Pārvaldē tāmi un iesniegumu par darbu atļaujas saņemšanu, kā arī nav sniedzis informāciju par apstākļiem, kas kavē dokumentu iesniegšanu, Komisijai ir tiesības atcelt lēmumu par finansējuma piešķiršanu, par to informējot īpašnieku.</w:t>
      </w:r>
    </w:p>
    <w:p w:rsidR="00074B2F" w:rsidRDefault="004554E1">
      <w:pPr>
        <w:pStyle w:val="Sarakstarindkopa"/>
        <w:numPr>
          <w:ilvl w:val="0"/>
          <w:numId w:val="2"/>
        </w:numPr>
        <w:jc w:val="both"/>
        <w:rPr>
          <w:rFonts w:ascii="Times New Roman" w:hAnsi="Times New Roman" w:cs="Times New Roman"/>
        </w:rPr>
      </w:pPr>
      <w:r>
        <w:rPr>
          <w:rFonts w:ascii="Times New Roman" w:hAnsi="Times New Roman" w:cs="Times New Roman"/>
        </w:rPr>
        <w:t xml:space="preserve">Īpašniekam līdzekļu piešķiršanas gadījumā ir pienākums iesniegt Pārvaldei atskaiti par finansējuma izlietojumu, tajā iekļaujot darbu </w:t>
      </w:r>
      <w:proofErr w:type="spellStart"/>
      <w:r>
        <w:rPr>
          <w:rFonts w:ascii="Times New Roman" w:hAnsi="Times New Roman" w:cs="Times New Roman"/>
        </w:rPr>
        <w:t>izpildtāmi</w:t>
      </w:r>
      <w:proofErr w:type="spellEnd"/>
      <w:r>
        <w:rPr>
          <w:rFonts w:ascii="Times New Roman" w:hAnsi="Times New Roman" w:cs="Times New Roman"/>
        </w:rPr>
        <w:t>, precīzu darbu un lietotās metodikas aprakstu, detalizētu darbu procesa un rezultātu fotofiksāciju, finansējuma izlietojuma rezultātā sagatavotās dokumentācijas (ja tāda sagatavota) vienu eksemplāru, tirgus izpētes apliecinājumus vai veiktā iepirkuma dokumentāciju, maksājumu uzdevumu sarakstu un apliecinājumu, ka finanšu dokumenti, kas aprakstīti atskaitē (tajā skaitā pārskaitījumi, kases čeki, darījumus apliecinošas kvītis, kurās ir norādīta uzņēmēja (izpildītāja) adrese, nosaukums, reģistrācijas numurs, preces vai pakalpojuma nosaukums, daudzums, cena, summa, piegādes datums un paraksts), būs pieejami kontrolei 5 gadus pēc finansējuma izlietošanas.</w:t>
      </w:r>
    </w:p>
    <w:p w:rsidR="00074B2F" w:rsidRDefault="00074B2F">
      <w:pPr>
        <w:ind w:left="360"/>
        <w:jc w:val="both"/>
        <w:rPr>
          <w:rFonts w:ascii="Times New Roman" w:hAnsi="Times New Roman" w:cs="Times New Roman"/>
        </w:rPr>
      </w:pPr>
    </w:p>
    <w:p w:rsidR="00074B2F" w:rsidRDefault="004554E1">
      <w:pPr>
        <w:jc w:val="both"/>
        <w:rPr>
          <w:rFonts w:ascii="Times New Roman" w:hAnsi="Times New Roman" w:cs="Times New Roman"/>
        </w:rPr>
      </w:pPr>
      <w:r>
        <w:rPr>
          <w:rFonts w:ascii="Times New Roman" w:hAnsi="Times New Roman" w:cs="Times New Roman"/>
        </w:rPr>
        <w:t>Sagatavoja:</w:t>
      </w:r>
    </w:p>
    <w:p w:rsidR="00074B2F" w:rsidRDefault="00074B2F">
      <w:pPr>
        <w:jc w:val="both"/>
        <w:rPr>
          <w:rFonts w:ascii="Times New Roman" w:hAnsi="Times New Roman" w:cs="Times New Roman"/>
        </w:rPr>
      </w:pPr>
    </w:p>
    <w:p w:rsidR="00074B2F" w:rsidRDefault="004554E1">
      <w:pPr>
        <w:spacing w:after="0" w:line="240" w:lineRule="auto"/>
        <w:jc w:val="both"/>
        <w:rPr>
          <w:rFonts w:ascii="Times New Roman" w:hAnsi="Times New Roman" w:cs="Times New Roman"/>
        </w:rPr>
      </w:pPr>
      <w:r>
        <w:rPr>
          <w:rFonts w:ascii="Times New Roman" w:hAnsi="Times New Roman" w:cs="Times New Roman"/>
        </w:rPr>
        <w:t xml:space="preserve">Kultūras mantojuma politikas daļas vadītāja </w:t>
      </w:r>
    </w:p>
    <w:p w:rsidR="00074B2F" w:rsidRDefault="004554E1">
      <w:pPr>
        <w:spacing w:after="0" w:line="240" w:lineRule="auto"/>
        <w:jc w:val="both"/>
        <w:rPr>
          <w:rFonts w:ascii="Times New Roman" w:hAnsi="Times New Roman" w:cs="Times New Roman"/>
        </w:rPr>
      </w:pPr>
      <w:r>
        <w:rPr>
          <w:rFonts w:ascii="Times New Roman" w:hAnsi="Times New Roman" w:cs="Times New Roman"/>
        </w:rPr>
        <w:t>B.Mūrniece</w:t>
      </w:r>
    </w:p>
    <w:p w:rsidR="00074B2F" w:rsidRDefault="00074B2F">
      <w:pPr>
        <w:jc w:val="both"/>
        <w:rPr>
          <w:rFonts w:ascii="Times New Roman" w:hAnsi="Times New Roman" w:cs="Times New Roman"/>
        </w:rPr>
      </w:pPr>
    </w:p>
    <w:p w:rsidR="00074B2F" w:rsidRDefault="004554E1">
      <w:pPr>
        <w:jc w:val="both"/>
        <w:rPr>
          <w:rFonts w:ascii="Times New Roman" w:hAnsi="Times New Roman" w:cs="Times New Roman"/>
        </w:rPr>
      </w:pPr>
      <w:r>
        <w:rPr>
          <w:rFonts w:ascii="Times New Roman" w:hAnsi="Times New Roman" w:cs="Times New Roman"/>
        </w:rPr>
        <w:t>Saskaņoja:</w:t>
      </w:r>
    </w:p>
    <w:p w:rsidR="00074B2F" w:rsidRDefault="004554E1">
      <w:pPr>
        <w:spacing w:after="0" w:line="240" w:lineRule="auto"/>
        <w:jc w:val="both"/>
        <w:rPr>
          <w:rFonts w:ascii="Times New Roman" w:hAnsi="Times New Roman" w:cs="Times New Roman"/>
        </w:rPr>
      </w:pPr>
      <w:r>
        <w:rPr>
          <w:rFonts w:ascii="Times New Roman" w:hAnsi="Times New Roman" w:cs="Times New Roman"/>
        </w:rPr>
        <w:t>Pārvaldes vadītājs</w:t>
      </w:r>
    </w:p>
    <w:p w:rsidR="00074B2F" w:rsidRDefault="004554E1">
      <w:pPr>
        <w:spacing w:after="0" w:line="240" w:lineRule="auto"/>
        <w:jc w:val="both"/>
        <w:rPr>
          <w:rFonts w:ascii="Times New Roman" w:hAnsi="Times New Roman" w:cs="Times New Roman"/>
        </w:rPr>
      </w:pPr>
      <w:r>
        <w:rPr>
          <w:rFonts w:ascii="Times New Roman" w:hAnsi="Times New Roman" w:cs="Times New Roman"/>
        </w:rPr>
        <w:t>J.Dambis</w:t>
      </w:r>
    </w:p>
    <w:p w:rsidR="00074B2F" w:rsidRDefault="00074B2F">
      <w:pPr>
        <w:jc w:val="both"/>
        <w:rPr>
          <w:rFonts w:ascii="Times New Roman" w:hAnsi="Times New Roman" w:cs="Times New Roman"/>
        </w:rPr>
      </w:pPr>
    </w:p>
    <w:p w:rsidR="00074B2F" w:rsidRDefault="00074B2F">
      <w:pPr>
        <w:pStyle w:val="Sarakstarindkopa"/>
        <w:jc w:val="both"/>
        <w:rPr>
          <w:rFonts w:ascii="Times New Roman" w:hAnsi="Times New Roman" w:cs="Times New Roman"/>
        </w:rPr>
      </w:pPr>
    </w:p>
    <w:p w:rsidR="00074B2F" w:rsidRDefault="00074B2F">
      <w:pPr>
        <w:pStyle w:val="Sarakstarindkopa"/>
        <w:jc w:val="both"/>
        <w:rPr>
          <w:rFonts w:ascii="Times New Roman" w:hAnsi="Times New Roman" w:cs="Times New Roman"/>
        </w:rPr>
      </w:pPr>
    </w:p>
    <w:p w:rsidR="00074B2F" w:rsidRDefault="00074B2F">
      <w:pPr>
        <w:pStyle w:val="Sarakstarindkopa"/>
        <w:jc w:val="both"/>
        <w:rPr>
          <w:rFonts w:ascii="Times New Roman" w:hAnsi="Times New Roman" w:cs="Times New Roman"/>
        </w:rPr>
      </w:pPr>
    </w:p>
    <w:p w:rsidR="00074B2F" w:rsidRDefault="00074B2F">
      <w:pPr>
        <w:pStyle w:val="Sarakstarindkopa"/>
        <w:jc w:val="both"/>
        <w:rPr>
          <w:rFonts w:ascii="Times New Roman" w:hAnsi="Times New Roman" w:cs="Times New Roman"/>
        </w:rPr>
      </w:pPr>
    </w:p>
    <w:p w:rsidR="00074B2F" w:rsidRDefault="00074B2F">
      <w:pPr>
        <w:pStyle w:val="Sarakstarindkopa"/>
        <w:jc w:val="both"/>
        <w:rPr>
          <w:rFonts w:ascii="Times New Roman" w:hAnsi="Times New Roman" w:cs="Times New Roman"/>
        </w:rPr>
      </w:pPr>
    </w:p>
    <w:p w:rsidR="00074B2F" w:rsidRDefault="004554E1">
      <w:pPr>
        <w:jc w:val="both"/>
      </w:pPr>
      <w:r>
        <w:rPr>
          <w:rFonts w:ascii="Times New Roman" w:hAnsi="Times New Roman" w:cs="Times New Roman"/>
        </w:rPr>
        <w:t>A.Rupenheite, I.Bula, 67326602</w:t>
      </w:r>
    </w:p>
    <w:sectPr w:rsidR="00074B2F">
      <w:pgSz w:w="11906" w:h="16838"/>
      <w:pgMar w:top="586" w:right="1800" w:bottom="697"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402345A6"/>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2F"/>
    <w:rsid w:val="00074B2F"/>
    <w:rsid w:val="004554E1"/>
    <w:rsid w:val="00666BDA"/>
    <w:rsid w:val="006D2A09"/>
    <w:rsid w:val="0092201C"/>
    <w:rsid w:val="00D70F01"/>
    <w:rsid w:val="00E66E4C"/>
    <w:rsid w:val="00EF459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AC6"/>
  <w15:docId w15:val="{15C18844-2FAA-496A-902D-C601E186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style>
  <w:style w:type="paragraph" w:styleId="Virsraksts1">
    <w:name w:val="heading 1"/>
    <w:basedOn w:val="Parasts"/>
    <w:next w:val="Parasts"/>
    <w:link w:val="Virsraksts1Rakstz"/>
    <w:qFormat/>
    <w:rsid w:val="00A443CA"/>
    <w:pPr>
      <w:keepNext/>
      <w:spacing w:after="0" w:line="240" w:lineRule="auto"/>
      <w:outlineLvl w:val="0"/>
    </w:pPr>
    <w:rPr>
      <w:rFonts w:ascii="Times New Roman" w:eastAsia="Times New Roman" w:hAnsi="Times New Roman" w:cs="Times New Roman"/>
      <w:b/>
      <w:bCs/>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Krsainssarakstsizclums1"/>
    <w:uiPriority w:val="34"/>
    <w:qFormat/>
    <w:locked/>
    <w:rsid w:val="00522DE3"/>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sid w:val="006D5F92"/>
    <w:rPr>
      <w:rFonts w:ascii="Tahoma" w:hAnsi="Tahoma" w:cs="Tahoma"/>
      <w:sz w:val="16"/>
      <w:szCs w:val="16"/>
    </w:rPr>
  </w:style>
  <w:style w:type="character" w:styleId="Komentraatsauce">
    <w:name w:val="annotation reference"/>
    <w:basedOn w:val="Noklusjumarindkopasfonts"/>
    <w:uiPriority w:val="99"/>
    <w:semiHidden/>
    <w:unhideWhenUsed/>
    <w:qFormat/>
    <w:rsid w:val="006E46CA"/>
    <w:rPr>
      <w:sz w:val="16"/>
      <w:szCs w:val="16"/>
    </w:rPr>
  </w:style>
  <w:style w:type="character" w:customStyle="1" w:styleId="KomentratekstsRakstz">
    <w:name w:val="Komentāra teksts Rakstz."/>
    <w:basedOn w:val="Noklusjumarindkopasfonts"/>
    <w:link w:val="Komentrateksts"/>
    <w:uiPriority w:val="99"/>
    <w:semiHidden/>
    <w:qFormat/>
    <w:rsid w:val="006E46CA"/>
    <w:rPr>
      <w:sz w:val="20"/>
      <w:szCs w:val="20"/>
    </w:rPr>
  </w:style>
  <w:style w:type="character" w:customStyle="1" w:styleId="KomentratmaRakstz">
    <w:name w:val="Komentāra tēma Rakstz."/>
    <w:basedOn w:val="KomentratekstsRakstz"/>
    <w:link w:val="Komentratma"/>
    <w:uiPriority w:val="99"/>
    <w:semiHidden/>
    <w:qFormat/>
    <w:rsid w:val="006E46CA"/>
    <w:rPr>
      <w:b/>
      <w:bCs/>
      <w:sz w:val="20"/>
      <w:szCs w:val="20"/>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styleId="Balonteksts">
    <w:name w:val="Balloon Text"/>
    <w:basedOn w:val="Parasts"/>
    <w:link w:val="BalontekstsRakstz"/>
    <w:uiPriority w:val="99"/>
    <w:semiHidden/>
    <w:unhideWhenUsed/>
    <w:qFormat/>
    <w:rsid w:val="006D5F92"/>
    <w:pPr>
      <w:spacing w:after="0" w:line="240" w:lineRule="auto"/>
    </w:pPr>
    <w:rPr>
      <w:rFonts w:ascii="Tahoma" w:hAnsi="Tahoma" w:cs="Tahoma"/>
      <w:sz w:val="16"/>
      <w:szCs w:val="16"/>
    </w:rPr>
  </w:style>
  <w:style w:type="paragraph" w:styleId="Komentrateksts">
    <w:name w:val="annotation text"/>
    <w:basedOn w:val="Parasts"/>
    <w:link w:val="KomentratekstsRakstz"/>
    <w:uiPriority w:val="99"/>
    <w:semiHidden/>
    <w:unhideWhenUsed/>
    <w:qFormat/>
    <w:rsid w:val="006E46CA"/>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E46CA"/>
    <w:rPr>
      <w:b/>
      <w:bCs/>
    </w:rPr>
  </w:style>
  <w:style w:type="table" w:styleId="Krsainssarakstsizclums1">
    <w:name w:val="Colorful List Accent 1"/>
    <w:basedOn w:val="Parastatabula"/>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7002</Words>
  <Characters>3992</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LR Kurtūras ministrija un padotībā esošās iestādes</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Alma Kaurāte</cp:lastModifiedBy>
  <cp:revision>4</cp:revision>
  <cp:lastPrinted>2019-12-04T14:32:00Z</cp:lastPrinted>
  <dcterms:created xsi:type="dcterms:W3CDTF">2019-12-04T14:33:00Z</dcterms:created>
  <dcterms:modified xsi:type="dcterms:W3CDTF">2019-12-06T14:16:00Z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